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890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9077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Jamieson VeraLinn</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DIGITAL REALTY TRUST, L.P.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DLR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601 W. 2ND STREET</w:t>
            </w:r>
          </w:p>
        </w:tc>
        <w:tc>
          <w:tcPr>
            <w:tcW w:w="1620" w:type="dxa"/>
            <w:vAlign w:val="bottom"/>
          </w:tcPr>
          <w:p>
            <w:pPr>
              <w:spacing w:after="0"/>
              <w:rPr>
                <w:sz w:val="10"/>
                <w:szCs w:val="10"/>
                <w:color w:val="auto"/>
              </w:rPr>
            </w:pPr>
          </w:p>
        </w:tc>
        <w:tc>
          <w:tcPr>
            <w:tcW w:w="296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 32</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AUSTIN</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78701</w:t>
            </w:r>
          </w:p>
        </w:tc>
      </w:tr>
      <w:tr>
        <w:trPr>
          <w:trHeight w:val="152"/>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Long-</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Term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153</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153</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14,696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700" w:type="dxa"/>
            <w:vAlign w:val="bottom"/>
          </w:tcPr>
          <w:p>
            <w:pPr>
              <w:ind w:left="60"/>
              <w:spacing w:after="0" w:line="112" w:lineRule="exact"/>
              <w:rPr>
                <w:sz w:val="20"/>
                <w:szCs w:val="20"/>
                <w:color w:val="auto"/>
              </w:rPr>
            </w:pPr>
            <w:r>
              <w:rPr>
                <w:rFonts w:ascii="Times New Roman" w:cs="Times New Roman" w:eastAsia="Times New Roman" w:hAnsi="Times New Roman"/>
                <w:sz w:val="12"/>
                <w:szCs w:val="12"/>
                <w:color w:val="0000FF"/>
              </w:rPr>
              <w:t>Incentive</w:t>
            </w:r>
          </w:p>
        </w:tc>
        <w:tc>
          <w:tcPr>
            <w:tcW w:w="7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180"/>
              <w:spacing w:after="0" w:line="112" w:lineRule="exact"/>
              <w:rPr>
                <w:sz w:val="20"/>
                <w:szCs w:val="20"/>
                <w:color w:val="auto"/>
              </w:rPr>
            </w:pPr>
            <w:r>
              <w:rPr>
                <w:rFonts w:ascii="Times New Roman" w:cs="Times New Roman" w:eastAsia="Times New Roman" w:hAnsi="Times New Roman"/>
                <w:sz w:val="12"/>
                <w:szCs w:val="12"/>
                <w:color w:val="0000FF"/>
              </w:rPr>
              <w:t>Units</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60" w:firstLine="3"/>
        <w:spacing w:after="0"/>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statement of changes in beneficial ownership of securities ("Form 4") of the Issuer is being filed to report transactions that are being reported concurrently on a Form 4 for the General Partner.</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Salini Nandipati,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07/02/2026</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8457" TargetMode="External"/><Relationship Id="rId14" Type="http://schemas.openxmlformats.org/officeDocument/2006/relationships/hyperlink" Target="http://www.sec.gov/cgi-bin/browse-edgar?action=getcompany&amp;CIK=000149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2026-07-02T15:16:14Z</dcterms:created>
  <dcterms:modified xsi:type="dcterms:W3CDTF">2026-07-02T15:16:14Z</dcterms:modified>
</cp:coreProperties>
</file>