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30"/>
          <w:szCs w:val="30"/>
          <w:b w:val="1"/>
          <w:bCs w:val="1"/>
          <w:color w:val="auto"/>
        </w:rPr>
        <w:t>DIGITAL REALTY TRUST, INC.</w:t>
      </w:r>
    </w:p>
    <w:p>
      <w:pPr>
        <w:spacing w:after="0" w:line="46"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0"/>
          <w:szCs w:val="30"/>
          <w:b w:val="1"/>
          <w:bCs w:val="1"/>
          <w:color w:val="auto"/>
        </w:rPr>
        <w:t>DIGITAL REALTY TRUST, L.P.</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80" w:type="dxa"/>
        <w:tblCellMar>
          <w:top w:w="0" w:type="dxa"/>
          <w:left w:w="0" w:type="dxa"/>
          <w:bottom w:w="0" w:type="dxa"/>
          <w:right w:w="0" w:type="dxa"/>
        </w:tblCellMar>
      </w:tblPr>
      <w:tr>
        <w:trPr>
          <w:trHeight w:val="152"/>
        </w:trPr>
        <w:tc>
          <w:tcPr>
            <w:tcW w:w="1980" w:type="dxa"/>
            <w:vAlign w:val="bottom"/>
          </w:tcPr>
          <w:p>
            <w:pPr>
              <w:jc w:val="center"/>
              <w:ind w:right="782"/>
              <w:spacing w:after="0"/>
              <w:rPr>
                <w:sz w:val="20"/>
                <w:szCs w:val="20"/>
                <w:color w:val="auto"/>
              </w:rPr>
            </w:pPr>
            <w:r>
              <w:rPr>
                <w:rFonts w:ascii="Times New Roman" w:cs="Times New Roman" w:eastAsia="Times New Roman" w:hAnsi="Times New Roman"/>
                <w:sz w:val="13"/>
                <w:szCs w:val="13"/>
                <w:b w:val="1"/>
                <w:bCs w:val="1"/>
                <w:color w:val="auto"/>
                <w:w w:val="97"/>
              </w:rPr>
              <w:t>Maryland</w:t>
            </w:r>
          </w:p>
        </w:tc>
        <w:tc>
          <w:tcPr>
            <w:tcW w:w="260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001-32336</w:t>
            </w:r>
          </w:p>
        </w:tc>
        <w:tc>
          <w:tcPr>
            <w:tcW w:w="1560" w:type="dxa"/>
            <w:vAlign w:val="bottom"/>
          </w:tcPr>
          <w:p>
            <w:pPr>
              <w:jc w:val="center"/>
              <w:ind w:left="743"/>
              <w:spacing w:after="0"/>
              <w:rPr>
                <w:sz w:val="20"/>
                <w:szCs w:val="20"/>
                <w:color w:val="auto"/>
              </w:rPr>
            </w:pPr>
            <w:r>
              <w:rPr>
                <w:rFonts w:ascii="Times New Roman" w:cs="Times New Roman" w:eastAsia="Times New Roman" w:hAnsi="Times New Roman"/>
                <w:sz w:val="13"/>
                <w:szCs w:val="13"/>
                <w:b w:val="1"/>
                <w:bCs w:val="1"/>
                <w:color w:val="auto"/>
                <w:w w:val="95"/>
              </w:rPr>
              <w:t>26-0081711</w:t>
            </w:r>
          </w:p>
        </w:tc>
      </w:tr>
      <w:tr>
        <w:trPr>
          <w:trHeight w:val="150"/>
        </w:trPr>
        <w:tc>
          <w:tcPr>
            <w:tcW w:w="1980" w:type="dxa"/>
            <w:vAlign w:val="bottom"/>
          </w:tcPr>
          <w:p>
            <w:pPr>
              <w:jc w:val="center"/>
              <w:ind w:right="782"/>
              <w:spacing w:after="0"/>
              <w:rPr>
                <w:sz w:val="20"/>
                <w:szCs w:val="20"/>
                <w:color w:val="auto"/>
              </w:rPr>
            </w:pPr>
            <w:r>
              <w:rPr>
                <w:rFonts w:ascii="Times New Roman" w:cs="Times New Roman" w:eastAsia="Times New Roman" w:hAnsi="Times New Roman"/>
                <w:sz w:val="13"/>
                <w:szCs w:val="13"/>
                <w:b w:val="1"/>
                <w:bCs w:val="1"/>
                <w:color w:val="auto"/>
                <w:w w:val="97"/>
              </w:rPr>
              <w:t>Maryland</w:t>
            </w:r>
          </w:p>
        </w:tc>
        <w:tc>
          <w:tcPr>
            <w:tcW w:w="260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000-54023</w:t>
            </w:r>
          </w:p>
        </w:tc>
        <w:tc>
          <w:tcPr>
            <w:tcW w:w="1560" w:type="dxa"/>
            <w:vAlign w:val="bottom"/>
          </w:tcPr>
          <w:p>
            <w:pPr>
              <w:jc w:val="center"/>
              <w:ind w:left="723"/>
              <w:spacing w:after="0"/>
              <w:rPr>
                <w:sz w:val="20"/>
                <w:szCs w:val="20"/>
                <w:color w:val="auto"/>
              </w:rPr>
            </w:pPr>
            <w:r>
              <w:rPr>
                <w:rFonts w:ascii="Times New Roman" w:cs="Times New Roman" w:eastAsia="Times New Roman" w:hAnsi="Times New Roman"/>
                <w:sz w:val="13"/>
                <w:szCs w:val="13"/>
                <w:b w:val="1"/>
                <w:bCs w:val="1"/>
                <w:color w:val="auto"/>
                <w:w w:val="98"/>
              </w:rPr>
              <w:t>20-2402955</w:t>
            </w:r>
          </w:p>
        </w:tc>
      </w:tr>
      <w:tr>
        <w:trPr>
          <w:trHeight w:val="104"/>
        </w:trPr>
        <w:tc>
          <w:tcPr>
            <w:tcW w:w="1980" w:type="dxa"/>
            <w:vAlign w:val="bottom"/>
          </w:tcPr>
          <w:p>
            <w:pPr>
              <w:jc w:val="center"/>
              <w:ind w:right="782"/>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600" w:type="dxa"/>
            <w:vAlign w:val="bottom"/>
          </w:tcPr>
          <w:p>
            <w:pPr>
              <w:ind w:left="94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560" w:type="dxa"/>
            <w:vAlign w:val="bottom"/>
          </w:tcPr>
          <w:p>
            <w:pPr>
              <w:jc w:val="center"/>
              <w:ind w:left="723"/>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1980" w:type="dxa"/>
            <w:vAlign w:val="bottom"/>
          </w:tcPr>
          <w:p>
            <w:pPr>
              <w:jc w:val="center"/>
              <w:ind w:right="782"/>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600" w:type="dxa"/>
            <w:vAlign w:val="bottom"/>
          </w:tcPr>
          <w:p>
            <w:pPr>
              <w:ind w:left="94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560" w:type="dxa"/>
            <w:vAlign w:val="bottom"/>
          </w:tcPr>
          <w:p>
            <w:pPr>
              <w:jc w:val="center"/>
              <w:ind w:left="723"/>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306"/>
        </w:trPr>
        <w:tc>
          <w:tcPr>
            <w:tcW w:w="1980" w:type="dxa"/>
            <w:vAlign w:val="bottom"/>
          </w:tcPr>
          <w:p>
            <w:pPr>
              <w:jc w:val="center"/>
              <w:ind w:left="382"/>
              <w:spacing w:after="0"/>
              <w:rPr>
                <w:sz w:val="20"/>
                <w:szCs w:val="20"/>
                <w:color w:val="auto"/>
              </w:rPr>
            </w:pPr>
            <w:r>
              <w:rPr>
                <w:rFonts w:ascii="Times New Roman" w:cs="Times New Roman" w:eastAsia="Times New Roman" w:hAnsi="Times New Roman"/>
                <w:sz w:val="13"/>
                <w:szCs w:val="13"/>
                <w:b w:val="1"/>
                <w:bCs w:val="1"/>
                <w:color w:val="auto"/>
                <w:w w:val="95"/>
              </w:rPr>
              <w:t>601 West 2</w:t>
            </w:r>
            <w:r>
              <w:rPr>
                <w:rFonts w:ascii="Times New Roman" w:cs="Times New Roman" w:eastAsia="Times New Roman" w:hAnsi="Times New Roman"/>
                <w:sz w:val="15"/>
                <w:szCs w:val="15"/>
                <w:b w:val="1"/>
                <w:bCs w:val="1"/>
                <w:color w:val="auto"/>
                <w:w w:val="95"/>
                <w:vertAlign w:val="superscript"/>
              </w:rPr>
              <w:t>nd</w:t>
            </w:r>
            <w:r>
              <w:rPr>
                <w:rFonts w:ascii="Times New Roman" w:cs="Times New Roman" w:eastAsia="Times New Roman" w:hAnsi="Times New Roman"/>
                <w:sz w:val="13"/>
                <w:szCs w:val="13"/>
                <w:b w:val="1"/>
                <w:bCs w:val="1"/>
                <w:color w:val="auto"/>
                <w:w w:val="95"/>
              </w:rPr>
              <w:t xml:space="preserve"> Street, Floor 32</w:t>
            </w:r>
          </w:p>
        </w:tc>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59"/>
        </w:trPr>
        <w:tc>
          <w:tcPr>
            <w:tcW w:w="1980" w:type="dxa"/>
            <w:vAlign w:val="bottom"/>
          </w:tcPr>
          <w:p>
            <w:pPr>
              <w:jc w:val="center"/>
              <w:ind w:left="382"/>
              <w:spacing w:after="0"/>
              <w:rPr>
                <w:sz w:val="20"/>
                <w:szCs w:val="20"/>
                <w:color w:val="auto"/>
              </w:rPr>
            </w:pPr>
            <w:r>
              <w:rPr>
                <w:rFonts w:ascii="Times New Roman" w:cs="Times New Roman" w:eastAsia="Times New Roman" w:hAnsi="Times New Roman"/>
                <w:sz w:val="13"/>
                <w:szCs w:val="13"/>
                <w:b w:val="1"/>
                <w:bCs w:val="1"/>
                <w:color w:val="auto"/>
                <w:w w:val="97"/>
              </w:rPr>
              <w:t>Austin, Texas</w:t>
            </w:r>
          </w:p>
        </w:tc>
        <w:tc>
          <w:tcPr>
            <w:tcW w:w="2600" w:type="dxa"/>
            <w:vAlign w:val="bottom"/>
          </w:tcPr>
          <w:p>
            <w:pPr>
              <w:spacing w:after="0"/>
              <w:rPr>
                <w:sz w:val="13"/>
                <w:szCs w:val="13"/>
                <w:color w:val="auto"/>
              </w:rPr>
            </w:pPr>
          </w:p>
        </w:tc>
        <w:tc>
          <w:tcPr>
            <w:tcW w:w="1560" w:type="dxa"/>
            <w:vAlign w:val="bottom"/>
          </w:tcPr>
          <w:p>
            <w:pPr>
              <w:jc w:val="right"/>
              <w:ind w:right="803"/>
              <w:spacing w:after="0"/>
              <w:rPr>
                <w:sz w:val="20"/>
                <w:szCs w:val="20"/>
                <w:color w:val="auto"/>
              </w:rPr>
            </w:pPr>
            <w:r>
              <w:rPr>
                <w:rFonts w:ascii="Times New Roman" w:cs="Times New Roman" w:eastAsia="Times New Roman" w:hAnsi="Times New Roman"/>
                <w:sz w:val="13"/>
                <w:szCs w:val="13"/>
                <w:b w:val="1"/>
                <w:bCs w:val="1"/>
                <w:color w:val="auto"/>
              </w:rPr>
              <w:t>78701</w:t>
            </w:r>
          </w:p>
        </w:tc>
      </w:tr>
      <w:tr>
        <w:trPr>
          <w:trHeight w:val="132"/>
        </w:trPr>
        <w:tc>
          <w:tcPr>
            <w:tcW w:w="4580" w:type="dxa"/>
            <w:vAlign w:val="bottom"/>
            <w:gridSpan w:val="2"/>
          </w:tcPr>
          <w:p>
            <w:pPr>
              <w:jc w:val="center"/>
              <w:ind w:right="2103"/>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560" w:type="dxa"/>
            <w:vAlign w:val="bottom"/>
          </w:tcPr>
          <w:p>
            <w:pPr>
              <w:jc w:val="center"/>
              <w:ind w:right="4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275"/>
        </w:trPr>
        <w:tc>
          <w:tcPr>
            <w:tcW w:w="1980" w:type="dxa"/>
            <w:vAlign w:val="bottom"/>
          </w:tcPr>
          <w:p>
            <w:pPr>
              <w:spacing w:after="0"/>
              <w:rPr>
                <w:sz w:val="23"/>
                <w:szCs w:val="23"/>
                <w:color w:val="auto"/>
              </w:rPr>
            </w:pPr>
          </w:p>
        </w:tc>
        <w:tc>
          <w:tcPr>
            <w:tcW w:w="260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(737) 281-0101</w:t>
            </w:r>
          </w:p>
        </w:tc>
        <w:tc>
          <w:tcPr>
            <w:tcW w:w="1560" w:type="dxa"/>
            <w:vAlign w:val="bottom"/>
          </w:tcPr>
          <w:p>
            <w:pPr>
              <w:spacing w:after="0"/>
              <w:rPr>
                <w:sz w:val="23"/>
                <w:szCs w:val="23"/>
                <w:color w:val="auto"/>
              </w:rPr>
            </w:pPr>
          </w:p>
        </w:tc>
      </w:tr>
      <w:tr>
        <w:trPr>
          <w:trHeight w:val="132"/>
        </w:trPr>
        <w:tc>
          <w:tcPr>
            <w:tcW w:w="1980" w:type="dxa"/>
            <w:vAlign w:val="bottom"/>
          </w:tcPr>
          <w:p>
            <w:pPr>
              <w:spacing w:after="0"/>
              <w:rPr>
                <w:sz w:val="11"/>
                <w:szCs w:val="1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c>
          <w:tcPr>
            <w:tcW w:w="156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149225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800" w:type="dxa"/>
            <w:vAlign w:val="bottom"/>
            <w:gridSpan w:val="2"/>
            <w:vMerge w:val="continue"/>
          </w:tcPr>
          <w:p>
            <w:pPr>
              <w:spacing w:after="0"/>
              <w:rPr>
                <w:sz w:val="11"/>
                <w:szCs w:val="11"/>
                <w:color w:val="auto"/>
              </w:rPr>
            </w:pP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7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5"/>
              </w:rPr>
              <w:t>Common Stock</w:t>
            </w:r>
          </w:p>
        </w:tc>
        <w:tc>
          <w:tcPr>
            <w:tcW w:w="100" w:type="dxa"/>
            <w:vAlign w:val="bottom"/>
          </w:tcPr>
          <w:p>
            <w:pPr>
              <w:spacing w:after="0"/>
              <w:rPr>
                <w:sz w:val="11"/>
                <w:szCs w:val="11"/>
                <w:color w:val="auto"/>
              </w:rPr>
            </w:pPr>
          </w:p>
        </w:tc>
        <w:tc>
          <w:tcPr>
            <w:tcW w:w="24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9"/>
              </w:rPr>
              <w:t>DLR</w:t>
            </w:r>
          </w:p>
        </w:tc>
        <w:tc>
          <w:tcPr>
            <w:tcW w:w="80" w:type="dxa"/>
            <w:vAlign w:val="bottom"/>
          </w:tcPr>
          <w:p>
            <w:pPr>
              <w:spacing w:after="0"/>
              <w:rPr>
                <w:sz w:val="11"/>
                <w:szCs w:val="11"/>
                <w:color w:val="auto"/>
              </w:rPr>
            </w:pPr>
          </w:p>
        </w:tc>
        <w:tc>
          <w:tcPr>
            <w:tcW w:w="24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r>
        <w:trPr>
          <w:trHeight w:val="152"/>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Series J Cumulative Redeemable Preferred Stock</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3"/>
              </w:rPr>
              <w:t>DLR Pr J</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r>
        <w:trPr>
          <w:trHeight w:val="152"/>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Series K Cumulative Redeemable Preferred Stock</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3"/>
              </w:rPr>
              <w:t>DLR Pr K</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r>
        <w:trPr>
          <w:trHeight w:val="165"/>
        </w:trPr>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Series L Cumulative Redeemable Preferred Stock</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DLR Pr L</w:t>
            </w:r>
          </w:p>
        </w:tc>
        <w:tc>
          <w:tcPr>
            <w:tcW w:w="2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ectPr>
          <w:pgSz w:w="11900" w:h="16838" w:orient="portrait"/>
          <w:cols w:equalWidth="0" w:num="1">
            <w:col w:w="9019"/>
          </w:cols>
          <w:pgMar w:left="1440" w:top="305" w:right="1440" w:bottom="1440" w:gutter="0" w:footer="0" w:header="0"/>
        </w:sectPr>
      </w:pPr>
    </w:p>
    <w:p>
      <w:pPr>
        <w:spacing w:after="0" w:line="14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Digital Realty Trust, Inc.:</w:t>
      </w:r>
    </w:p>
    <w:p>
      <w:pPr>
        <w:spacing w:after="0" w:line="2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Digital Realty Trust, L.P.:</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5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1" w:lineRule="exact"/>
        <w:rPr>
          <w:sz w:val="24"/>
          <w:szCs w:val="24"/>
          <w:color w:val="auto"/>
        </w:rPr>
      </w:pPr>
    </w:p>
    <w:p>
      <w:pPr>
        <w:sectPr>
          <w:pgSz w:w="11900" w:h="16838" w:orient="portrait"/>
          <w:cols w:equalWidth="0" w:num="2">
            <w:col w:w="3940" w:space="720"/>
            <w:col w:w="4359"/>
          </w:cols>
          <w:pgMar w:left="1440" w:top="305" w:right="1440" w:bottom="1440" w:gutter="0" w:footer="0" w:header="0"/>
          <w:type w:val="continuous"/>
        </w:sect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Digital Realty Trust, Inc.:  </w:t>
      </w:r>
      <w:r>
        <w:rPr>
          <w:rFonts w:ascii="MS PGothic" w:cs="MS PGothic" w:eastAsia="MS PGothic" w:hAnsi="MS PGothic"/>
          <w:sz w:val="13"/>
          <w:szCs w:val="13"/>
          <w:color w:val="auto"/>
        </w:rPr>
        <w:t>☐</w:t>
      </w:r>
    </w:p>
    <w:p>
      <w:pPr>
        <w:spacing w:after="0" w:line="40"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Digital Realty Trust, L.P.: 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106045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135890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Introductory Note</w:t>
      </w:r>
    </w:p>
    <w:p>
      <w:pPr>
        <w:spacing w:after="0" w:line="8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Unless otherwise indicated or unless the context requires otherwise, all references in this report to “we,” “us,” “our,” “our company,” “the company” or “Digital Realty” refer to Digital Realty Trust, Inc., together with its consolidated subsidiaries, including Digital Realty Trust, L.P., our “operating partnership.”</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3.02 Unregistered Sales of Equity Securities.</w:t>
      </w:r>
    </w:p>
    <w:p>
      <w:pPr>
        <w:spacing w:after="0" w:line="80" w:lineRule="exact"/>
        <w:rPr>
          <w:sz w:val="20"/>
          <w:szCs w:val="20"/>
          <w:color w:val="auto"/>
        </w:rPr>
      </w:pPr>
    </w:p>
    <w:p>
      <w:pPr>
        <w:ind w:left="640" w:right="959"/>
        <w:spacing w:after="0" w:line="255" w:lineRule="auto"/>
        <w:rPr>
          <w:sz w:val="20"/>
          <w:szCs w:val="20"/>
          <w:color w:val="auto"/>
        </w:rPr>
      </w:pPr>
      <w:r>
        <w:rPr>
          <w:rFonts w:ascii="Times New Roman" w:cs="Times New Roman" w:eastAsia="Times New Roman" w:hAnsi="Times New Roman"/>
          <w:sz w:val="13"/>
          <w:szCs w:val="13"/>
          <w:color w:val="auto"/>
        </w:rPr>
        <w:t>The information included under Item 8.01 below is incorporated by reference herein. The issuances of securities by the company and the operating partnership described in Item 8.01 below are exempt from registration pursuant to Section 4(a)(2) of the Securities Act of 1933, as amended, as transactions not involving a public offering.</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80"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On June 22, 2026, the company issued a press release regarding certain pending and completed transactions. The press release is attached hereto as Exhibit 99.1 and incorporated by reference herein.</w:t>
      </w:r>
    </w:p>
    <w:p>
      <w:pPr>
        <w:spacing w:after="0" w:line="122"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 xml:space="preserve">In connection with such announcement, the company made available a presentation to prospective investors, which is also available on the company’s website at </w:t>
      </w:r>
      <w:r>
        <w:rPr>
          <w:rFonts w:ascii="Times New Roman" w:cs="Times New Roman" w:eastAsia="Times New Roman" w:hAnsi="Times New Roman"/>
          <w:sz w:val="13"/>
          <w:szCs w:val="13"/>
          <w:u w:val="single" w:color="auto"/>
          <w:color w:val="auto"/>
        </w:rPr>
        <w:t>www.digitalrealty.com</w:t>
      </w:r>
      <w:r>
        <w:rPr>
          <w:rFonts w:ascii="Times New Roman" w:cs="Times New Roman" w:eastAsia="Times New Roman" w:hAnsi="Times New Roman"/>
          <w:sz w:val="13"/>
          <w:szCs w:val="13"/>
          <w:color w:val="auto"/>
        </w:rPr>
        <w:t>. The presentation is attached hereto as Exhibit 99.2 and incorporated by reference herein.</w:t>
      </w:r>
    </w:p>
    <w:p>
      <w:pPr>
        <w:spacing w:after="0" w:line="122"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of this Current Report on Form 8-K, including the exhibits attached hereto, is furnished pursuant to Item 7.01 and shall not be deemed “filed” for any purpose, including for the purposes of Section 18 of the Exchange Act, or otherwise subject to the liabilities of that Section, and shall not be deemed incorporated by reference into any filing under the Securities Act or the Exchange Act regardless of any general incorporation language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8.01 Other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Other Acquisition and Investment Activity</w:t>
      </w:r>
    </w:p>
    <w:p>
      <w:pPr>
        <w:spacing w:after="0" w:line="80"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On April 30, 2026, the operating partnership acquired approximately 1,440 acres of land for development at Astra Enterprise Park, located near Kansas City for approximately $377.6 million in cash and 517,475 common units of partnership interest in the operating partnership.</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On May 8, 2026, the company entered into an agreement to purchase Columbia Capital for (i) $45 million of cash and 2,337,036 shares of the company’s common stock, par value $0.01 per share (“common stock”), to be issued at the closing of the transaction, and (ii) up to an additional $290 million, in cash or (at the company’s option) 1,457,506 additional shares of the company’s common stock, upon achievement of certain performance milestones, in each case, subject to adjustment and the other terms and conditions of the purchase agreement. The equity consideration is subject to a lockup that releases over a multi-year period. Founded in 1989, Columbia Capital is focused on the communications, technology and digital infrastructure space, with over $9 billion in fund commitments from hundreds of investors, including sovereign wealth funds, pension funds, insurance companies, endowments and other institutional investors. The company has agreed to provide the applicable sellers resale registration rights with respect to the common stock to be issued. Completion of the purchase transaction is expected to occur in the second half of 2026, subject to customary closing conditions and regulatory approvals.</w:t>
      </w:r>
    </w:p>
    <w:p>
      <w:pPr>
        <w:spacing w:after="0" w:line="137"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On June 22, 2026, the company agreed to issue 3,425,031 shares of its common stock (representing a current value of approximately $644.4 million based on closing price as of June 18, 2026) to purchase approximately 16% of the interests in the company’s Teraco joint venture pursuant to an existing put right exercised by certain of the joint venture’s third party partners. The purchase will increase the company’s interest in Africa’s leading data center platform to 77%. The company has agreed to provide the applicable sellers resale registration rights with respect to the common stock to be issued. Completion of the repurchase transaction is expected to occur in the second half of 2026, subject to customary closing conditions and regulatory approvals.</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Cautionary Statement Regarding Forward-Looking Statements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This Current Report on Form 8-K contains certain “forward-looking” statements as that term is defined by Section 27A of the Securities Act and Section 21E of the Exchange Act of 1934, as amended (the “Exchange Act”). Statements that are predictive in nature, that depend on or relate to future events or conditions, or that include words such as “believes”, “anticipates”, “expects”, “may”, “will”, “would”, “should”, “estimates”, “could”, “intends”, “plans” or other similar expressions are forward-looking statements. Forward-looking statements involve significant known and unknown risks and uncertainties that may cause the company’s actual results in future periods to differ materially from those projected or contemplated in the forward-looking statements as a result of, but not limited to, the following factors: risks and uncertainties related to market conditions and satisfaction of customary closing conditions related to the Teraco and Columbia Capital transactions; and the impact of legislative, regulatory and competitive changes and other risk factors relating to the industries in which we operate, as detailed from time to time in each of our reports filed with the SEC. There can be no assurance that the proposed transactions will be consummated on the terms described herein or at all.</w:t>
      </w:r>
    </w:p>
    <w:p>
      <w:pPr>
        <w:spacing w:after="0" w:line="137" w:lineRule="exact"/>
        <w:rPr>
          <w:sz w:val="20"/>
          <w:szCs w:val="20"/>
          <w:color w:val="auto"/>
        </w:rPr>
      </w:pPr>
    </w:p>
    <w:p>
      <w:pPr>
        <w:ind w:left="640" w:right="659"/>
        <w:spacing w:after="0" w:line="271" w:lineRule="auto"/>
        <w:rPr>
          <w:sz w:val="20"/>
          <w:szCs w:val="20"/>
          <w:color w:val="auto"/>
        </w:rPr>
      </w:pPr>
      <w:r>
        <w:rPr>
          <w:rFonts w:ascii="Times New Roman" w:cs="Times New Roman" w:eastAsia="Times New Roman" w:hAnsi="Times New Roman"/>
          <w:sz w:val="12"/>
          <w:szCs w:val="12"/>
          <w:color w:val="auto"/>
        </w:rPr>
        <w:t>The risks included here are not exhaustive, and additional factors could adversely affect our business and financial performance. We discussed a number of additional material risks in our annual report on Form 10-K for the year ended December 31, 2025, our quarterly report on Form 10-Q for the quarter ended March 31, 2026 and other filings with the Securities and Exchange Commission. Those risks continue to be relevant to our performance and financial condition. Moreover, we operate in a very competitive and rapidly changing environment. New risk factors emerge from time to time and it is not possible for management to predict all such risk factors, nor can it assess the impact of all such risk factors on the business or the extent to which any factor, or combination of factors, may cause actual results to differ materially from those contained in any forward-looking statements. We expressly disclaim any responsibility to update forward-looking statements, whether as a result of new information, future events or otherwise.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720" w:type="dxa"/>
            <w:vAlign w:val="bottom"/>
          </w:tcPr>
          <w:p>
            <w:pPr>
              <w:jc w:val="center"/>
              <w:ind w:right="302"/>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0" w:type="dxa"/>
            <w:vAlign w:val="bottom"/>
          </w:tcPr>
          <w:p>
            <w:pPr>
              <w:spacing w:after="0"/>
              <w:rPr>
                <w:sz w:val="10"/>
                <w:szCs w:val="10"/>
                <w:color w:val="auto"/>
              </w:rPr>
            </w:pPr>
          </w:p>
        </w:tc>
      </w:tr>
      <w:tr>
        <w:trPr>
          <w:trHeight w:val="141"/>
        </w:trPr>
        <w:tc>
          <w:tcPr>
            <w:tcW w:w="720" w:type="dxa"/>
            <w:vAlign w:val="bottom"/>
          </w:tcPr>
          <w:p>
            <w:pPr>
              <w:jc w:val="center"/>
              <w:ind w:right="302"/>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ind w:left="216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410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w:t>
            </w:r>
          </w:p>
        </w:tc>
      </w:tr>
      <w:tr>
        <w:trPr>
          <w:trHeight w:val="20"/>
        </w:trPr>
        <w:tc>
          <w:tcPr>
            <w:tcW w:w="7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410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Investor Presentation.</w:t>
            </w:r>
          </w:p>
        </w:tc>
      </w:tr>
      <w:tr>
        <w:trPr>
          <w:trHeight w:val="20"/>
        </w:trPr>
        <w:tc>
          <w:tcPr>
            <w:tcW w:w="7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6"/>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10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93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registrants have duly caused this report to be signed on their behalf by the undersigned hereunto duly authorized.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June 22, 2026</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Digital Realty Trust,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b w:val="1"/>
          <w:bCs w:val="1"/>
          <w:color w:val="auto"/>
        </w:rPr>
        <w:t>Jeannie Lee</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Executive Vice President, General Counsel and</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Secretary</w:t>
      </w:r>
    </w:p>
    <w:p>
      <w:pPr>
        <w:spacing w:after="0" w:line="1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Digital Realty Trust, L.P.</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Digital Realty Trust, Inc.</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Its general partner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JEANNIE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b w:val="1"/>
          <w:bCs w:val="1"/>
          <w:color w:val="auto"/>
        </w:rPr>
        <w:t>Jeannie Lee</w:t>
      </w:r>
    </w:p>
    <w:p>
      <w:pPr>
        <w:spacing w:after="0" w:line="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Executive Vice President, General Counsel and</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b w:val="1"/>
          <w:bCs w:val="1"/>
          <w:color w:val="auto"/>
        </w:rPr>
        <w:t>Secretary</w:t>
      </w:r>
    </w:p>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017270" cy="361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7270" cy="361315"/>
                    </a:xfrm>
                    <a:prstGeom prst="rect">
                      <a:avLst/>
                    </a:prstGeom>
                    <a:noFill/>
                  </pic:spPr>
                </pic:pic>
              </a:graphicData>
            </a:graphic>
          </wp:anchor>
        </w:drawing>
      </w:r>
    </w:p>
    <w:p>
      <w:pPr>
        <w:spacing w:after="0" w:line="23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Digital Realty Announces Transactions to Drive Continued Platform Growth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Secures Two-Gigawatt Development Site in Kansas City Metro, and Agrees to Increase Teraco Ownership and to Acquire Columbia Capital</w:t>
      </w:r>
    </w:p>
    <w:p>
      <w:pPr>
        <w:spacing w:after="0" w:line="154"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Austin, TX – June 22, 2026 </w:t>
      </w:r>
      <w:r>
        <w:rPr>
          <w:rFonts w:ascii="Times New Roman" w:cs="Times New Roman" w:eastAsia="Times New Roman" w:hAnsi="Times New Roman"/>
          <w:sz w:val="13"/>
          <w:szCs w:val="13"/>
          <w:color w:val="auto"/>
        </w:rPr>
        <w:t>– Digital Realty (NYSE: DLR), the world’s largest cloud- and carrier-neutral data center platform, today announced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series of transactions that together bolster the company’s three core pillars of growth: (i) expansion of its hyperscale data center development capacity through the acquisition of a new powered land site in the Kansas City metro, (ii) growth of its colocation and connectivity portfolio through the purchase of certain minority shareholder stakes in Teraco, and (iii) further scaling of its Strategic Private Capital platform through the acquisition of Columbia Capital a leading investment firm in the digital infrastructure space.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Expansion into Kansas City Market</w:t>
      </w:r>
    </w:p>
    <w:p>
      <w:pPr>
        <w:spacing w:after="0" w:line="80" w:lineRule="exact"/>
        <w:rPr>
          <w:sz w:val="20"/>
          <w:szCs w:val="20"/>
          <w:color w:val="auto"/>
        </w:rPr>
      </w:pPr>
    </w:p>
    <w:p>
      <w:pPr>
        <w:ind w:left="640" w:right="679"/>
        <w:spacing w:after="0" w:line="214" w:lineRule="auto"/>
        <w:rPr>
          <w:sz w:val="20"/>
          <w:szCs w:val="20"/>
          <w:color w:val="auto"/>
        </w:rPr>
      </w:pPr>
      <w:r>
        <w:rPr>
          <w:rFonts w:ascii="Times New Roman" w:cs="Times New Roman" w:eastAsia="Times New Roman" w:hAnsi="Times New Roman"/>
          <w:sz w:val="13"/>
          <w:szCs w:val="13"/>
          <w:color w:val="auto"/>
        </w:rPr>
        <w:t>Digital Realty has acquired approximately 1,440 acres of land at Astra Enterprise Park, located near Kansas City to support hyperscale data center development for approximately $475 million</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in cash and common units in its operating partnership. The acquisition marks an entry into a Top 30 U.S. metro with fast-growing technology sector exposure, ample utility and telecommunications infrastructure, and strong connectivity fundamentals. According to datacenterHawk, the Kansas City metro is the 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largest data center market in the U.S., when including capacity that is currently under construction and in planning.</w:t>
      </w:r>
    </w:p>
    <w:p>
      <w:pPr>
        <w:spacing w:after="0" w:line="141" w:lineRule="exact"/>
        <w:rPr>
          <w:sz w:val="20"/>
          <w:szCs w:val="20"/>
          <w:color w:val="auto"/>
        </w:rPr>
      </w:pPr>
    </w:p>
    <w:p>
      <w:pPr>
        <w:ind w:left="640" w:right="939"/>
        <w:spacing w:after="0" w:line="267" w:lineRule="auto"/>
        <w:rPr>
          <w:sz w:val="20"/>
          <w:szCs w:val="20"/>
          <w:color w:val="auto"/>
        </w:rPr>
      </w:pPr>
      <w:r>
        <w:rPr>
          <w:rFonts w:ascii="Times New Roman" w:cs="Times New Roman" w:eastAsia="Times New Roman" w:hAnsi="Times New Roman"/>
          <w:sz w:val="13"/>
          <w:szCs w:val="13"/>
          <w:color w:val="auto"/>
        </w:rPr>
        <w:t>To support development of the site, Digital Realty has entered into an Energy Service Agreement with the local utility to provide 600 megawatts of utility power by early 2028, rising to two gigawatts at full delivery.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Increase in Teraco Ownership</w:t>
      </w:r>
    </w:p>
    <w:p>
      <w:pPr>
        <w:spacing w:after="0" w:line="80" w:lineRule="exact"/>
        <w:rPr>
          <w:sz w:val="20"/>
          <w:szCs w:val="20"/>
          <w:color w:val="auto"/>
        </w:rPr>
      </w:pPr>
    </w:p>
    <w:p>
      <w:pPr>
        <w:ind w:left="640" w:right="659"/>
        <w:spacing w:after="0" w:line="273" w:lineRule="auto"/>
        <w:rPr>
          <w:sz w:val="20"/>
          <w:szCs w:val="20"/>
          <w:color w:val="auto"/>
        </w:rPr>
      </w:pPr>
      <w:r>
        <w:rPr>
          <w:rFonts w:ascii="Times New Roman" w:cs="Times New Roman" w:eastAsia="Times New Roman" w:hAnsi="Times New Roman"/>
          <w:sz w:val="13"/>
          <w:szCs w:val="13"/>
          <w:color w:val="auto"/>
        </w:rPr>
        <w:t>As part of the continued investment in its colocation and connectivity platform, Digital Realty is increasing its ownership interest in Teraco, Africa’s leading data center platform, to 77% through the acquisition of shares from certain minority shareholders. Digital Realty will purchase the 16% stake for approximately $650 million</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principally via the issuance of 3.4 million shares of common stock.</w:t>
      </w:r>
    </w:p>
    <w:p>
      <w:pPr>
        <w:spacing w:after="0" w:line="31"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Teraco represents a key component of Digital Realty’s global colocation and connectivity footprint, with a portfolio of highly connected, network-dense campuses serving a growing base of customers across the EMEA region.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Acquisition of Columbia Capital</w:t>
      </w:r>
    </w:p>
    <w:p>
      <w:pPr>
        <w:spacing w:after="0" w:line="80" w:lineRule="exact"/>
        <w:rPr>
          <w:sz w:val="20"/>
          <w:szCs w:val="20"/>
          <w:color w:val="auto"/>
        </w:rPr>
      </w:pPr>
    </w:p>
    <w:p>
      <w:pPr>
        <w:ind w:left="640" w:right="819"/>
        <w:spacing w:after="0" w:line="245" w:lineRule="auto"/>
        <w:rPr>
          <w:sz w:val="20"/>
          <w:szCs w:val="20"/>
          <w:color w:val="auto"/>
        </w:rPr>
      </w:pPr>
      <w:r>
        <w:rPr>
          <w:rFonts w:ascii="Times New Roman" w:cs="Times New Roman" w:eastAsia="Times New Roman" w:hAnsi="Times New Roman"/>
          <w:sz w:val="12"/>
          <w:szCs w:val="12"/>
          <w:color w:val="auto"/>
        </w:rPr>
        <w:t>Digital Realty plans to acquire Columbia Capital for approximately $485 million</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principally through the issuance of 2.3 million shares of common stock, with a lockup that releases over a multi-year period and an earnout that is subject to certain performance hurdles. Founded in 1989, Columbia Capital is focused on the communications, technology and digital infrastructure space, with over $9 billion in fund commitments from hundreds of investors, including sovereign wealth funds, pension funds, insurance companies, endowments and other institutional investors.</w:t>
      </w:r>
    </w:p>
    <w:p>
      <w:pPr>
        <w:spacing w:after="0" w:line="136"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The acquisition will accelerate Digital Realty’s Strategic Private Capital platform and provides increased expertise and visibility into adjacent digital infrastructure sectors. Columbia Capital’s experienced investment team and established portfolio complement Digital Realty’s global operating platform and will strengthen investment capabilities to take advantage of the expanding AI infrastructure ecosystem.</w:t>
      </w:r>
    </w:p>
    <w:p>
      <w:pPr>
        <w:spacing w:after="0" w:line="13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Columbia Capital and Digital Realty have collaborated on multiple digital infrastructure projects. Columbia is a long-time co-investor in Teraco whose involvement predates Digital Realty’s acquisition of a majority interest in August 2022. The two companies have also partnered through Vela Infrastructure, a subsea cable landing station developer.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1</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2</w:t>
      </w:r>
    </w:p>
    <w:p>
      <w:pPr>
        <w:sectPr>
          <w:pgSz w:w="11900" w:h="16838" w:orient="portrait"/>
          <w:cols w:equalWidth="0" w:num="1">
            <w:col w:w="9019"/>
          </w:cols>
          <w:pgMar w:left="1440" w:top="125"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Executive Commentary</w:t>
      </w:r>
    </w:p>
    <w:p>
      <w:pPr>
        <w:spacing w:after="0" w:line="80" w:lineRule="exact"/>
        <w:rPr>
          <w:sz w:val="20"/>
          <w:szCs w:val="20"/>
          <w:color w:val="auto"/>
        </w:rPr>
      </w:pPr>
    </w:p>
    <w:p>
      <w:pPr>
        <w:ind w:left="640" w:right="759"/>
        <w:spacing w:after="0" w:line="275" w:lineRule="auto"/>
        <w:rPr>
          <w:sz w:val="20"/>
          <w:szCs w:val="20"/>
          <w:color w:val="auto"/>
        </w:rPr>
      </w:pPr>
      <w:r>
        <w:rPr>
          <w:rFonts w:ascii="Times New Roman" w:cs="Times New Roman" w:eastAsia="Times New Roman" w:hAnsi="Times New Roman"/>
          <w:sz w:val="12"/>
          <w:szCs w:val="12"/>
          <w:color w:val="auto"/>
        </w:rPr>
        <w:t>“These transactions support the continued momentum of Digital Realty’s three core pillars of growth. The purchase of land in the Kansas City metro enhances our ability to serve hyperscale customers’ near term requirements, while our increased stake in Teraco strengthens our position in Africa’s leading data center platform and supports the continued growth of our global colocation and connectivity business,” said Andy Power, President and Chief Executive Officer of Digital Realty. “Our history of collaboration with Columbia Capital reflects a shared long-term perspective while providing additional flexibility to support the scaling of both our hyperscale development pipeline and our private capital platform.”</w:t>
      </w:r>
    </w:p>
    <w:p>
      <w:pPr>
        <w:spacing w:after="0" w:line="119"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“Taken together, these transactions are expected to further enhance Digital Realty’s growth profile, while maintaining our balance sheet discipline and positioning the company for the continued investment opportunity we see ahead,” said Matt Mercier, Chief Financial Officer of Digital Realty. These investments will be principally funded through the issuance of 6.3 million shares of common stock (and operating partnership units) at a weighted average price of $197.54 per share (or unit).</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Teraco and Columbia Capital transactions are expected to close in the second half of 2026 and remain subject to customary closing conditions.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Resources</w:t>
      </w:r>
    </w:p>
    <w:p>
      <w:pPr>
        <w:spacing w:after="0" w:line="89" w:lineRule="exact"/>
        <w:rPr>
          <w:sz w:val="20"/>
          <w:szCs w:val="20"/>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 Soto data center project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Project Sediba: Teraco’s renewable energy milestone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The PERE Podcast: Andy Power discusses the strategic importance of Private Capital to Digital Realty</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Digital Realty</w:t>
      </w:r>
    </w:p>
    <w:p>
      <w:pPr>
        <w:spacing w:after="0" w:line="80" w:lineRule="exact"/>
        <w:rPr>
          <w:sz w:val="20"/>
          <w:szCs w:val="20"/>
          <w:color w:val="auto"/>
        </w:rPr>
      </w:pPr>
    </w:p>
    <w:p>
      <w:pPr>
        <w:ind w:left="640" w:right="659"/>
        <w:spacing w:after="0" w:line="218" w:lineRule="auto"/>
        <w:rPr>
          <w:sz w:val="20"/>
          <w:szCs w:val="20"/>
          <w:color w:val="auto"/>
        </w:rPr>
      </w:pPr>
      <w:r>
        <w:rPr>
          <w:rFonts w:ascii="Times New Roman" w:cs="Times New Roman" w:eastAsia="Times New Roman" w:hAnsi="Times New Roman"/>
          <w:sz w:val="13"/>
          <w:szCs w:val="13"/>
          <w:color w:val="auto"/>
        </w:rPr>
        <w:t>Digital Realty brings companies and data together by delivering the full spectrum of data center, colocation, and interconnection solutions. PlatformDIGITAL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the company’s global data center platform, provides customers with a secure data meeting place and a proven Pervasive Datacenter Architecture (PDx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solution methodology for powering innovation, from cloud and digital transformation to emerging technologies like artificial intelligence (AI), and efficiently managing Data Gravity challenges. Digital Realty gives customers access to the connected data communities that matter to them through a global footprint of 300+ facilities in 55+ metros across 30+ countries on six continents. To learn more, visit </w:t>
      </w:r>
      <w:r>
        <w:rPr>
          <w:rFonts w:ascii="Times New Roman" w:cs="Times New Roman" w:eastAsia="Times New Roman" w:hAnsi="Times New Roman"/>
          <w:sz w:val="13"/>
          <w:szCs w:val="13"/>
          <w:u w:val="single" w:color="auto"/>
          <w:color w:val="auto"/>
        </w:rPr>
        <w:t>digitalrealty.com</w:t>
      </w:r>
      <w:r>
        <w:rPr>
          <w:rFonts w:ascii="Times New Roman" w:cs="Times New Roman" w:eastAsia="Times New Roman" w:hAnsi="Times New Roman"/>
          <w:sz w:val="13"/>
          <w:szCs w:val="13"/>
          <w:color w:val="auto"/>
        </w:rPr>
        <w:t xml:space="preserve"> or follow us on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X</w:t>
      </w:r>
      <w:r>
        <w:rPr>
          <w:rFonts w:ascii="Times New Roman" w:cs="Times New Roman" w:eastAsia="Times New Roman" w:hAnsi="Times New Roman"/>
          <w:sz w:val="13"/>
          <w:szCs w:val="13"/>
          <w:color w:val="auto"/>
        </w:rPr>
        <w: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 Additional Information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Jordan Sadler / Jim Huseby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Digital Realty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+1 737 281 0101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InvestorRelations@digitalrealty.com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Contact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Helen Bleasdale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Digital Realty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+1 737 267 6822</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hcbleasdale@digitalrealty.com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Safe Harbor Statement</w:t>
      </w:r>
    </w:p>
    <w:p>
      <w:pPr>
        <w:spacing w:after="0" w:line="80" w:lineRule="exact"/>
        <w:rPr>
          <w:sz w:val="20"/>
          <w:szCs w:val="20"/>
          <w:color w:val="auto"/>
        </w:rPr>
      </w:pPr>
    </w:p>
    <w:p>
      <w:pPr>
        <w:ind w:left="640" w:right="859"/>
        <w:spacing w:after="0" w:line="279" w:lineRule="auto"/>
        <w:rPr>
          <w:sz w:val="20"/>
          <w:szCs w:val="20"/>
          <w:color w:val="auto"/>
        </w:rPr>
      </w:pPr>
      <w:r>
        <w:rPr>
          <w:rFonts w:ascii="Times New Roman" w:cs="Times New Roman" w:eastAsia="Times New Roman" w:hAnsi="Times New Roman"/>
          <w:sz w:val="12"/>
          <w:szCs w:val="12"/>
          <w:color w:val="auto"/>
        </w:rPr>
        <w:t>This press release contains forward-looking statements based on current expectations, forecasts, and assumptions that involve risks and uncertainties which may cause actual results to differ materially from those described. These include statements related to the Fund, customer demand, expected benefits, use of proceeds, and the company’s strategy. For a description of these risks and uncertainties, please refer to the company’s filings with the U.S. Securities and Exchange Commission. The company undertakes no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52070</wp:posOffset>
            </wp:positionV>
            <wp:extent cx="54165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4" w:lineRule="exact"/>
        <w:rPr>
          <w:sz w:val="20"/>
          <w:szCs w:val="20"/>
          <w:color w:val="auto"/>
        </w:rPr>
      </w:pPr>
    </w:p>
    <w:p>
      <w:pPr>
        <w:ind w:left="940" w:hanging="303"/>
        <w:spacing w:after="0"/>
        <w:tabs>
          <w:tab w:leader="none" w:pos="94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Based on closing stock price of $188.15/sh as of June 18, 2026.</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xml:space="preserve">Page </w:t>
      </w:r>
      <w:r>
        <w:rPr>
          <w:rFonts w:ascii="Times New Roman" w:cs="Times New Roman" w:eastAsia="Times New Roman" w:hAnsi="Times New Roman"/>
          <w:sz w:val="13"/>
          <w:szCs w:val="13"/>
          <w:b w:val="1"/>
          <w:bCs w:val="1"/>
          <w:color w:val="auto"/>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b w:val="1"/>
          <w:bCs w:val="1"/>
          <w:color w:val="auto"/>
        </w:rPr>
        <w:t>2</w:t>
      </w:r>
    </w:p>
    <w:p>
      <w:pPr>
        <w:sectPr>
          <w:pgSz w:w="11900" w:h="16838" w:orient="portrait"/>
          <w:cols w:equalWidth="0" w:num="1">
            <w:col w:w="9019"/>
          </w:cols>
          <w:pgMar w:left="1440" w:top="229" w:right="1440"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2026-06-22T08:19:00Z</dcterms:created>
  <dcterms:modified xsi:type="dcterms:W3CDTF">2026-06-22T08:19:00Z</dcterms:modified>
</cp:coreProperties>
</file>